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A6" w:rsidRDefault="00F43994">
      <w:pPr>
        <w:divId w:val="1632974226"/>
        <w:rPr>
          <w:rFonts w:eastAsia="Times New Roman"/>
          <w:sz w:val="24"/>
          <w:szCs w:val="24"/>
        </w:rPr>
      </w:pPr>
      <w:bookmarkStart w:id="0" w:name="_GoBack"/>
      <w:bookmarkEnd w:id="0"/>
      <w:r>
        <w:rPr>
          <w:rFonts w:eastAsia="Times New Roman"/>
        </w:rPr>
        <w:t xml:space="preserve">13.12.080 - Pretreatment of wastewater. </w:t>
      </w:r>
    </w:p>
    <w:p w:rsidR="00F31CA6" w:rsidRDefault="00F43994">
      <w:pPr>
        <w:pStyle w:val="list0"/>
        <w:divId w:val="929583190"/>
      </w:pPr>
      <w:r>
        <w:t>A.</w:t>
      </w:r>
      <w:r>
        <w:tab/>
        <w:t xml:space="preserve">Pretreatment Facilities. Industrial users shall provide necessary wastewater treatment as required to comply with this chapter and shall achieve compliance with all federal categorical pretreatment standards, local limits and the prohibitions set out in Section 13.12.070(B) of this chapter within the time limitations specified by the EPA, state or the city, whichever is more stringent. Any facilities required to pretreat wastewater to a level acceptable to the city shall be provided, operated and maintained at the industrial user's expense. Detailed plans showing pretreatment facilities and operating procedures shall be submitted to the city for review, and shall be acceptable to the city before construction of the facility. The review of such plans and operating procedures will in no way relieve the industrial user from the responsibility of modifying the facility as necessary to produce a discharge acceptable to the city under the provisions of this chapter. Any subsequent changes in the pretreatment facility or method of operation shall be reported to and be acceptable to the city prior to the user's initiation of the changes. </w:t>
      </w:r>
    </w:p>
    <w:p w:rsidR="00F31CA6" w:rsidRDefault="00F43994">
      <w:pPr>
        <w:pStyle w:val="list0"/>
        <w:divId w:val="929583190"/>
      </w:pPr>
      <w:r>
        <w:t>B.</w:t>
      </w:r>
      <w:r>
        <w:tab/>
        <w:t xml:space="preserve">Additional Pretreatment Measures. </w:t>
      </w:r>
    </w:p>
    <w:p w:rsidR="00F31CA6" w:rsidRDefault="00F43994">
      <w:pPr>
        <w:pStyle w:val="list1"/>
        <w:divId w:val="929583190"/>
      </w:pPr>
      <w:r>
        <w:t>1.</w:t>
      </w:r>
      <w:r>
        <w:tab/>
        <w:t xml:space="preserve">Whenever deemed necessary, the engineer may require industrial users to restrict their discharge, designate that certain wastewater be discharged only into specific sewers, relocate and/or consolidate points of discharge, separate sewage wastestreams from industrial wastestreams, and such other conditions as may be necessary to protect the WTW and determine the industrial user's compliance with the requirements of this chapter. </w:t>
      </w:r>
    </w:p>
    <w:p w:rsidR="00F31CA6" w:rsidRDefault="00F43994">
      <w:pPr>
        <w:pStyle w:val="list1"/>
        <w:divId w:val="929583190"/>
      </w:pPr>
      <w:r>
        <w:t>2.</w:t>
      </w:r>
      <w:r>
        <w:tab/>
        <w:t xml:space="preserve">An industrial user may be required, at the direction of the engineer, to maintain, on his property and at his expense, a suitable storage and/or flow control facility to insure equalization of flow over a twenty-four (24) hour period. </w:t>
      </w:r>
    </w:p>
    <w:p w:rsidR="00F31CA6" w:rsidRDefault="00F43994">
      <w:pPr>
        <w:pStyle w:val="list1"/>
        <w:divId w:val="929583190"/>
      </w:pPr>
      <w:r>
        <w:t>3.</w:t>
      </w:r>
      <w:r>
        <w:tab/>
        <w:t xml:space="preserve">Grease, oil and sand interceptors shall be provided when, in the opinion of the engineer, they are necessary for the proper handling of wastewater containing excessive amounts of grease and oil, or sand; except that such interceptors shall not be required for residential users. All interception units shall be of type and capacity approved by the engineer and shall be so located to be easily acceptable for cleaning and inspection. Such interceptors shall be inspected, cleaned and repaired regularly by the owner at his expense. </w:t>
      </w:r>
    </w:p>
    <w:p w:rsidR="00F31CA6" w:rsidRDefault="00F43994">
      <w:pPr>
        <w:pStyle w:val="list0"/>
        <w:divId w:val="929583190"/>
      </w:pPr>
      <w:r>
        <w:t>C.</w:t>
      </w:r>
      <w:r>
        <w:tab/>
        <w:t xml:space="preserve">Monitoring Facilities. The city may require to be provided and operated at the user's expense monitoring facilities to allow inspection, flow and/or pH measurement and sampling of the discharge from the building sewer and/or internal drainage systems. Detailed plans shall be submitted to and approved by the engineer prior to construction of the required monitoring facility. The monitoring facility shall provide ample room to allow accurate sampling of the discharge and at all times shall be maintained in a safe and proper operating condition. The monitoring facility shall comply with all applicable city requirements and all applicable state and local construction standards and specifications. </w:t>
      </w:r>
    </w:p>
    <w:p w:rsidR="00F31CA6" w:rsidRDefault="00F43994">
      <w:pPr>
        <w:pStyle w:val="list0"/>
        <w:divId w:val="929583190"/>
      </w:pPr>
      <w:r>
        <w:t>D.</w:t>
      </w:r>
      <w:r>
        <w:tab/>
        <w:t xml:space="preserve">Accidental Discharge/Slug Control Plans. To provide protection from accidental/slug discharge of prohibited materials or other substances regulated by this chapter, the superintendent may require any industrial user to develop and implement an accidental discharge/slug control plan. At least once every two years, the superintendent shall evaluate whether each significant industrial user needs such a plan. Any industrial user required to develop and implement an accidental discharge/slug control plan shall submit a plan which addresses, at a minimum, the following: </w:t>
      </w:r>
    </w:p>
    <w:p w:rsidR="00F31CA6" w:rsidRDefault="00F43994">
      <w:pPr>
        <w:pStyle w:val="list1"/>
        <w:divId w:val="929583190"/>
      </w:pPr>
      <w:r>
        <w:t>1.</w:t>
      </w:r>
      <w:r>
        <w:tab/>
        <w:t xml:space="preserve">Procedures and/or facilities to prevent accidental/slug discharge. Included shall be, but not limited to, inspection and maintenance of storage areas, handling and transfer of materials, loading and unloading operations, control of plant site run-off, worker training building of containment structures or equipment, measures for containing toxic organic pollutants (including solvents), and/or measures and equipment for emergency response. Detailed plans showing the facilities and operating procedures for these facilities which shall be submitted to the city for review and approved by the engineer; </w:t>
      </w:r>
    </w:p>
    <w:p w:rsidR="00F31CA6" w:rsidRDefault="00F43994">
      <w:pPr>
        <w:pStyle w:val="list1"/>
        <w:divId w:val="929583190"/>
      </w:pPr>
      <w:r>
        <w:t>2.</w:t>
      </w:r>
      <w:r>
        <w:tab/>
        <w:t xml:space="preserve">Description of industrial user discharge practices, including nonroutine batch discharges; </w:t>
      </w:r>
    </w:p>
    <w:p w:rsidR="00F31CA6" w:rsidRDefault="00F43994">
      <w:pPr>
        <w:pStyle w:val="list1"/>
        <w:divId w:val="929583190"/>
      </w:pPr>
      <w:r>
        <w:lastRenderedPageBreak/>
        <w:t>3.</w:t>
      </w:r>
      <w:r>
        <w:tab/>
        <w:t xml:space="preserve">Description and listing of stored chemicals; </w:t>
      </w:r>
    </w:p>
    <w:p w:rsidR="00F31CA6" w:rsidRDefault="00F43994">
      <w:pPr>
        <w:pStyle w:val="list1"/>
        <w:divId w:val="929583190"/>
      </w:pPr>
      <w:r>
        <w:t>4.</w:t>
      </w:r>
      <w:r>
        <w:tab/>
        <w:t xml:space="preserve">Procedures for immediately notifying the WWTP of any accidental or slug discharge. Such notification shall include location of discharge, type of waste, concentration and volume of discharge, and corrective measures being taken. Such notification procedures must be posted in a prominent place within the industrial user's facility to advise employees of the proper actions in the event of an accidental/slug discharge. The industrial user shall ensure that all employees who may cause or suffer an accidental/slug discharge to occur are advised of the notification procedures. The above notification procedures shall also apply for any discharge which violates any of the prohibited discharges in Section 13.12.070(B) of this chapter; </w:t>
      </w:r>
    </w:p>
    <w:p w:rsidR="00F31CA6" w:rsidRDefault="00F43994">
      <w:pPr>
        <w:pStyle w:val="list1"/>
        <w:divId w:val="929583190"/>
      </w:pPr>
      <w:r>
        <w:t>5.</w:t>
      </w:r>
      <w:r>
        <w:tab/>
        <w:t xml:space="preserve">Written notification of an accidental/slug discharge shall be within five days following the event. Written notification shall be submitted to the city of Salisbury department of public works wastewater pretreatment program. Included in the written notification shall be a description of the accidental/slug discharge, corrective and cleanup measures and measures initiated to prevent similar future occurrences. </w:t>
      </w:r>
    </w:p>
    <w:p w:rsidR="00F31CA6" w:rsidRDefault="00F43994">
      <w:pPr>
        <w:pStyle w:val="p2"/>
        <w:divId w:val="929583190"/>
      </w:pPr>
      <w:r>
        <w:t xml:space="preserve">Notification by the industrial user to the city shall not relieve the industrial user of any expense, loss, damage or other liability which may be incurred as a result of damage to the WTW or WWTP, fish kills or any other damage to person or property, nor shall such notification relieve the user of any fines, civil penalties or other liability which may be imposed by this chapter or other applicable federal, state or local regulations and/or laws. </w:t>
      </w:r>
    </w:p>
    <w:p w:rsidR="00F31CA6" w:rsidRDefault="00F43994">
      <w:pPr>
        <w:pStyle w:val="list0"/>
        <w:divId w:val="929583190"/>
      </w:pPr>
      <w:r>
        <w:t>E.</w:t>
      </w:r>
      <w:r>
        <w:tab/>
        <w:t xml:space="preserve">Tenant Responsibility. Where an owner of property leases premises to any other person as a tenant under any rental or lease agreement, if either owner or the tenant is an industrial user, either or both may be held responsible for compliance with the provisions of this chapter. </w:t>
      </w:r>
    </w:p>
    <w:p w:rsidR="00F31CA6" w:rsidRDefault="00F43994">
      <w:pPr>
        <w:pStyle w:val="list0"/>
        <w:divId w:val="929583190"/>
      </w:pPr>
      <w:r>
        <w:t>F.</w:t>
      </w:r>
      <w:r>
        <w:tab/>
        <w:t xml:space="preserve">No person shall maliciously, willfully or negligently break, damage, destroy, uncover, tamper with or prevent access to any structure, appurtenance or equipment, or other part of the WTW or WWTP. Any person found in violation of this requirement shall be subject to the sanctions set out in Section 13.12.200 of this chapter. </w:t>
      </w:r>
    </w:p>
    <w:p w:rsidR="00F31CA6" w:rsidRDefault="00F43994">
      <w:pPr>
        <w:pStyle w:val="historynote0"/>
        <w:divId w:val="929583190"/>
      </w:pPr>
      <w:r>
        <w:t xml:space="preserve">(Ord. 1983 (part), 2006) </w:t>
      </w:r>
    </w:p>
    <w:sectPr w:rsidR="00F31C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A6" w:rsidRDefault="00F43994">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D0716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FF" w:rsidRDefault="00F43994">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2F07B4"/>
    <w:rsid w:val="003511BB"/>
    <w:rsid w:val="00366CFF"/>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07165"/>
    <w:rsid w:val="00D16B6F"/>
    <w:rsid w:val="00D440B4"/>
    <w:rsid w:val="00D6354F"/>
    <w:rsid w:val="00E2049E"/>
    <w:rsid w:val="00E245CF"/>
    <w:rsid w:val="00E460BC"/>
    <w:rsid w:val="00EB4352"/>
    <w:rsid w:val="00EC58D9"/>
    <w:rsid w:val="00F15F1F"/>
    <w:rsid w:val="00F31CA6"/>
    <w:rsid w:val="00F43994"/>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3190">
      <w:marLeft w:val="0"/>
      <w:marRight w:val="0"/>
      <w:marTop w:val="0"/>
      <w:marBottom w:val="0"/>
      <w:divBdr>
        <w:top w:val="none" w:sz="0" w:space="0" w:color="auto"/>
        <w:left w:val="none" w:sz="0" w:space="0" w:color="auto"/>
        <w:bottom w:val="none" w:sz="0" w:space="0" w:color="auto"/>
        <w:right w:val="none" w:sz="0" w:space="0" w:color="auto"/>
      </w:divBdr>
    </w:div>
    <w:div w:id="1632974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Pat Stewart</cp:lastModifiedBy>
  <cp:revision>2</cp:revision>
  <cp:lastPrinted>2017-06-07T00:24:00Z</cp:lastPrinted>
  <dcterms:created xsi:type="dcterms:W3CDTF">2017-07-28T20:13:00Z</dcterms:created>
  <dcterms:modified xsi:type="dcterms:W3CDTF">2017-07-28T20:13:00Z</dcterms:modified>
</cp:coreProperties>
</file>